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D" w:rsidRDefault="000843A2" w:rsidP="00D8621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3124200" cy="843915"/>
            <wp:effectExtent l="0" t="0" r="0" b="0"/>
            <wp:docPr id="2" name="Obraz 2" descr="C:\Users\wlip012659\AppData\Local\Temp\Temp1_expopower logo.zip\expopower logo\Expo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lip012659\AppData\Local\Temp\Temp1_expopower logo.zip\expopower logo\Expopowe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A2" w:rsidRDefault="000843A2" w:rsidP="00D8621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0843A2" w:rsidRPr="00D86217" w:rsidRDefault="000843A2" w:rsidP="00D8621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CC5FED" w:rsidRPr="007E58AD" w:rsidRDefault="00CC5FED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Termin nadsyłania zgłoszeń uczestnictwa: </w:t>
      </w:r>
      <w:r w:rsidR="001E30E3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31.01.2024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r.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FC502C">
      <w:pPr>
        <w:pStyle w:val="Akapitzlist"/>
        <w:spacing w:after="0" w:line="240" w:lineRule="auto"/>
        <w:ind w:left="789" w:hanging="80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 tym terminie zgłoszenia będą przyjmowane w miarę dostępności powierzchni wystawienniczej.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Termin i godziny otwarcia targów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Termin targów:                                      </w:t>
      </w:r>
      <w:r w:rsidR="001E30E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23.04 - 25.04.2024</w:t>
      </w: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 xml:space="preserve"> r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Godziny otwarcia targów:                  </w:t>
      </w:r>
      <w:r w:rsidR="00DB5715"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 xml:space="preserve">   </w:t>
      </w:r>
      <w:r w:rsidR="001E30E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23-24.04</w:t>
      </w: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           </w:t>
      </w:r>
      <w:r w:rsidR="00DB5715"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 xml:space="preserve">          </w:t>
      </w:r>
      <w:r w:rsidR="001E30E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25.04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63F62">
      <w:pPr>
        <w:pStyle w:val="Akapitzlist"/>
        <w:numPr>
          <w:ilvl w:val="0"/>
          <w:numId w:val="2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dla wystawców:                                      9:00 – 18:00            9:00-16:00</w:t>
      </w:r>
    </w:p>
    <w:p w:rsidR="00CC5FED" w:rsidRPr="007E58AD" w:rsidRDefault="00CC5FED" w:rsidP="00963F62">
      <w:pPr>
        <w:pStyle w:val="Akapitzlist"/>
        <w:numPr>
          <w:ilvl w:val="0"/>
          <w:numId w:val="2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dla zwiedzających:                               10:00 – 17:00          10:00-16:00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Okresy montażu i demontażu stoiska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Mo</w:t>
      </w:r>
      <w:r w:rsidR="001E30E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ntaż:                         19 - 22.04.2024</w:t>
      </w: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Demontaż: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                   </w:t>
      </w:r>
      <w:r w:rsidR="001E30E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 26.04.2024</w:t>
      </w: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 xml:space="preserve"> </w:t>
      </w:r>
      <w:r w:rsidR="001E30E3">
        <w:rPr>
          <w:rFonts w:eastAsia="Times New Roman" w:cstheme="minorHAnsi"/>
          <w:color w:val="000000" w:themeColor="text1"/>
          <w:sz w:val="16"/>
          <w:szCs w:val="16"/>
          <w:lang w:eastAsia="pl-PL"/>
        </w:rPr>
        <w:t>(dnia 25.04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od godz. 16:00)</w:t>
      </w:r>
    </w:p>
    <w:p w:rsidR="00CC5FED" w:rsidRPr="007E58AD" w:rsidRDefault="00BE52F9" w:rsidP="00BE52F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</w:t>
      </w:r>
      <w:r w:rsidR="00CC5FED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Godziny otwarcia pawilonów i terenów targowych: </w:t>
      </w:r>
      <w:r w:rsidR="00CC5FED"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7:00</w:t>
      </w:r>
      <w:r w:rsidR="00CC5FED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do </w:t>
      </w:r>
      <w:r w:rsidR="00CC5FED"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21.30</w:t>
      </w:r>
      <w:r w:rsidR="00CC5FED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Zgłoszenie uczestnictwa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MTP przyjmują zgłoszenie uczestnictwa w targach dokonane drogą elektroniczną (on-line) za pośrednictwem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Strefa </w:t>
      </w:r>
      <w:r w:rsidR="00B1264F"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 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. Czynności dokonania zgłoszenia wystawcy oraz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są opisane w Regulaminie dla uczestników targów oraz w Regulaminie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Wystawcy.</w:t>
      </w: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MTP przyjmują zgłoszenie uczestnictwa w targach pod warunkiem wpłaty kaucji z tytułu udostępnienia powierzchni wystawienniczej, o której mowa w punkcie 5, a także uregulowania opłaty za zgłoszenie wystawcy, o której mowa w punkcie 6.</w:t>
      </w: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MTP przyjmują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pod warunkiem uregulowania opłaty 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, o której mowa w punkcie 7.</w:t>
      </w:r>
    </w:p>
    <w:p w:rsidR="00CC5FED" w:rsidRPr="007E58AD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Do uregulowania kaucji z tytułu udostępnienia powierzchni wystawienniczej i opłaty za zgłoszenie wystawcy oraz opłaty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jest zobowiązany podmiot dokonujący zgłoszenia uczestnictwa.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Powierzchnia wystawiennicza, warunki płatności</w:t>
      </w: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5.1.</w:t>
      </w: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Ceny powierzchni wystawienniczej związanej z uczestnictwem w targach, zlokalizowanej w pawilonie i/lub na terenie otwartym uwzględniają: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przygotowanie powierzchni do udostępnienia wystawcy (wytyczenie stoiska, przygotowanie infrastruktury);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oddanie wystawcy powierzchni do używania przez okres targów oraz montażu i demontażu;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 przypadku powierzchni zabudowanej – dodatkowo – montaż i demontaż stoiska or</w:t>
      </w:r>
      <w:r w:rsidR="00816CDA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az koszty standardowej </w:t>
      </w:r>
      <w:r w:rsidR="00B1264F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zabudowy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9D46DA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i   </w:t>
      </w:r>
      <w:r w:rsidR="00963F62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wyposażenia wg projektu MTP;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sprzątanie stoisk w czasie targów;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obsługę i sprzątanie toalet;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koszty zużycia wody;</w:t>
      </w:r>
    </w:p>
    <w:p w:rsidR="00CC5FED" w:rsidRPr="007E58AD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obsługę organizacyjno-techniczną realizowaną przez Koordynatora Rejonu MTP </w:t>
      </w:r>
    </w:p>
    <w:p w:rsidR="00CC5FED" w:rsidRPr="007E58AD" w:rsidRDefault="00CC5FED" w:rsidP="00963F62">
      <w:pPr>
        <w:numPr>
          <w:ilvl w:val="0"/>
          <w:numId w:val="4"/>
        </w:numPr>
        <w:tabs>
          <w:tab w:val="clear" w:pos="644"/>
          <w:tab w:val="num" w:pos="1418"/>
        </w:tabs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ceny powierzchni wystawienniczej w pawilonie uwzględniają także koszty: ogrzewania / klimatyzacji - ogólnego oświetlenia pawilonu.</w:t>
      </w:r>
    </w:p>
    <w:p w:rsidR="00CC5FED" w:rsidRPr="007E58AD" w:rsidRDefault="00CC5FED" w:rsidP="009D46DA">
      <w:pPr>
        <w:pStyle w:val="Akapitzlist"/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Przy obliczaniu opłaty za powierzchnię wystawienniczą MTP dokonują zaokrąglenia metrażu do pełnego m</w:t>
      </w:r>
      <w:r w:rsidRPr="007E58AD">
        <w:rPr>
          <w:rFonts w:eastAsia="Times New Roman" w:cstheme="minorHAnsi"/>
          <w:color w:val="000000" w:themeColor="text1"/>
          <w:sz w:val="16"/>
          <w:szCs w:val="16"/>
          <w:vertAlign w:val="superscript"/>
          <w:lang w:eastAsia="pl-PL"/>
        </w:rPr>
        <w:t>2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według zasad matematycznych.</w:t>
      </w:r>
    </w:p>
    <w:p w:rsidR="00CC5FED" w:rsidRPr="007E58AD" w:rsidRDefault="00CC5FED" w:rsidP="009D46DA">
      <w:pPr>
        <w:pStyle w:val="Akapitzlist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Kaucja z tytułu udostępnienia powierzchni wystawienniczej.</w:t>
      </w:r>
    </w:p>
    <w:p w:rsidR="00CC5FED" w:rsidRPr="007E58AD" w:rsidRDefault="00CC5FED" w:rsidP="009D46DA">
      <w:pPr>
        <w:spacing w:after="0" w:line="240" w:lineRule="auto"/>
        <w:ind w:left="789" w:hanging="80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Podmiot dokonujący zgłoszenia uczestnictwa i zamówienia powierzchni jest zobowiązany do wpłaty kaucji z tytułu udostępnienia   powierzchni wystawienniczej. Wpłata kaucji stanowi warunek przyjęcia przez MTP zgłoszenia uczestnictwa.</w:t>
      </w:r>
    </w:p>
    <w:p w:rsidR="00CC5FED" w:rsidRPr="007E58AD" w:rsidRDefault="00CC5FED" w:rsidP="00FC502C">
      <w:pPr>
        <w:spacing w:after="0" w:line="240" w:lineRule="auto"/>
        <w:ind w:left="789" w:hanging="80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Wysokość kaucji:</w:t>
      </w:r>
    </w:p>
    <w:tbl>
      <w:tblPr>
        <w:tblW w:w="15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5"/>
      </w:tblGrid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63F6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789" w:hanging="222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50% </w:t>
            </w:r>
            <w:r w:rsidRPr="007E58AD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wartości brutto* zamówionej powierzchni - dla wpłat dokonanych </w:t>
            </w:r>
            <w:r w:rsidR="001E30E3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31.01.2024</w:t>
            </w: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:rsidR="00CC5FED" w:rsidRPr="007E58AD" w:rsidRDefault="00CC5FED" w:rsidP="00963F6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789" w:hanging="222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100% </w:t>
            </w:r>
            <w:r w:rsidRPr="007E58AD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wartości brutto* zamówionej powierzchni - dla wpłat dokonanych </w:t>
            </w:r>
            <w:r w:rsidR="001E30E3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 31.01.2024</w:t>
            </w: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CC5FED" w:rsidRPr="007E58AD" w:rsidRDefault="00CC5FED" w:rsidP="00FC502C">
      <w:p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Z tytułu wpłaty kaucji nie będzie wystawiona faktura. Kaucja wpłacona przez podmiot dokonujący zgłoszenia uczestnictwa i zamówienia powierzchni zostanie w dniu wystawienia Potwierdzenia Zgłoszenia Uczestnictwa</w:t>
      </w:r>
      <w:r w:rsidR="00C53651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(umowa)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zaliczona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br/>
        <w:t>na poczet opłaty z tytułu udostępnienia powierzchni wystawienniczej.</w:t>
      </w:r>
    </w:p>
    <w:p w:rsidR="00CC5FED" w:rsidRPr="007E58AD" w:rsidRDefault="009D46DA" w:rsidP="00FC502C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lastRenderedPageBreak/>
        <w:t xml:space="preserve"> </w:t>
      </w:r>
      <w:r w:rsidR="00CC5FED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Wraz z Potwierdzeniem Zgłoszenia Uczestnictwa MTP wystawią fakturę potwierdzającą zaliczenie wpłaty na poczet należności z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FC502C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CC5FED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tytułu udostępnienia powierzchni wystawienniczej.</w:t>
      </w:r>
    </w:p>
    <w:p w:rsidR="00CC5FED" w:rsidRPr="007E58AD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 przypadku wpłaty w wysokości mniejszej niż 100 % wartości brutto* zamówionej powierzchni, MTP wystawią dokument pro forma wskazujący pozostałą do zapłaty część należności, którą należy uregulować w terminie wskazanym w dokumencie pro forma. Dokonana wpłata zostanie zafakturowana przez MTP zgodnie z obowiązującymi przepisami.</w:t>
      </w:r>
    </w:p>
    <w:p w:rsidR="00CC5FED" w:rsidRPr="007E58AD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Rozliczenia z zagranicznymi kontrahentami z tytułu udostępnienia powierzchni wystawienniczej są dokonywane przez MTP według średniego kursu EUR ogłoszonego przez NBP:</w:t>
      </w:r>
    </w:p>
    <w:p w:rsidR="00CC5FED" w:rsidRPr="007E58AD" w:rsidRDefault="00CC5FED" w:rsidP="00963F62">
      <w:pPr>
        <w:pStyle w:val="Akapitzlist"/>
        <w:numPr>
          <w:ilvl w:val="0"/>
          <w:numId w:val="6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dniu roboczym poprzedzającym datę wystawienia faktury albo dokumentu pro forma – jeżeli należność na poczet opłaty z tytułu udostępnienia powierzchni wystawienniczej wpłynęła na rachunek bankowy MTP przed terminem zgłoszeń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br/>
        <w:t>uczestnictwa;</w:t>
      </w:r>
    </w:p>
    <w:p w:rsidR="00CC5FED" w:rsidRPr="007E58AD" w:rsidRDefault="00CC5FED" w:rsidP="00963F62">
      <w:pPr>
        <w:pStyle w:val="Akapitzlist"/>
        <w:numPr>
          <w:ilvl w:val="0"/>
          <w:numId w:val="6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ostatnim dniu roboczym poprzedzającym termin nadsyłania zgłoszeń – jeżeli należność na poczet opłaty z tytułu udostępnienia powierzchni wystawienniczej wpłynęła na rachunek bankowy MTP w dniu ustalonym jako termin zgłoszeń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br/>
        <w:t>uczestnictwa lub po tym terminie.</w:t>
      </w:r>
    </w:p>
    <w:p w:rsidR="008A0793" w:rsidRPr="007E58AD" w:rsidRDefault="008A0793" w:rsidP="009D46DA">
      <w:pPr>
        <w:pStyle w:val="Akapitzlist"/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9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Opłata za zgłoszenie wystawcy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C53651">
      <w:pPr>
        <w:spacing w:after="0" w:line="240" w:lineRule="auto"/>
        <w:ind w:left="993" w:hanging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6.1.   </w:t>
      </w:r>
      <w:r w:rsidR="00C53651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obejmuje pakiet świadczeń,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do wyboru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: pakiet STANDARD lub pakiet PREMIUM.</w:t>
      </w:r>
    </w:p>
    <w:p w:rsidR="00CC5FED" w:rsidRPr="007E58AD" w:rsidRDefault="00CC5FED" w:rsidP="009D46DA">
      <w:pPr>
        <w:pStyle w:val="Akapitzlist"/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Wysokość opłaty za zgłoszenie (do zadeklarowania przy dokonywaniu zgłoszenia uczestnictwa on-line za pośrednictwem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):</w:t>
      </w:r>
    </w:p>
    <w:p w:rsidR="00CC5FED" w:rsidRPr="007E58AD" w:rsidRDefault="00CC5FED" w:rsidP="00963F62">
      <w:pPr>
        <w:numPr>
          <w:ilvl w:val="0"/>
          <w:numId w:val="13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wystawcy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STANDARD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– wynosi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1 750 PLN netto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**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w terminie oraz </w:t>
      </w:r>
      <w:r w:rsidR="00B54457" w:rsidRP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2150 PLN netto**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 terminie zgłoszeń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,</w:t>
      </w:r>
    </w:p>
    <w:p w:rsidR="00CC5FED" w:rsidRPr="007E58AD" w:rsidRDefault="00CC5FED" w:rsidP="00963F6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wystawcy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PREMIUM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– wynosi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2</w:t>
      </w:r>
      <w:r w:rsidR="00B54457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600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PLN netto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**</w:t>
      </w:r>
      <w:r w:rsidR="00B54457" w:rsidRP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terminie oraz </w:t>
      </w:r>
      <w:r w:rsidR="00B54457" w:rsidRP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3000 PLN netto**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 terminie zgłoszeń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CC5FED" w:rsidRPr="007E58AD" w:rsidRDefault="00CC5FED" w:rsidP="009D46DA">
      <w:pPr>
        <w:tabs>
          <w:tab w:val="num" w:pos="142"/>
        </w:tabs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Świadczenia dla wystawcy, wchodzące w zakres pakietów STANDARD i PREMIUM, są szczegółowo określone w opisie usługi opłata za zgłoszenie wystawcy na portalu 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Wystawcy</w:t>
      </w:r>
    </w:p>
    <w:p w:rsidR="00CC5FED" w:rsidRPr="007E58AD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Podmiot zgłaszający uczestnictwo jest zobowiązany do dokonania opłaty za zgłoszenie wystawcy w pełnej wysokości (100% wartości brutto*), równolegle ze zgłoszeniem uczestnictwa i z wpłatą kaucji, o której mowa w punkcie 2. Dokonanie opłaty zostanie potwierdzone przez MTP wystawieniem faktury zgodnie z obowiązującymi przepisami.</w:t>
      </w:r>
    </w:p>
    <w:p w:rsidR="00CC5FED" w:rsidRPr="007E58AD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 przypadku odwołania oferty uczestnictwa albo odstąpienia od umowy uczestnictwa, wpłacona opłata za zgłoszenie wystawcy nie podlega zwrotowi.</w:t>
      </w:r>
    </w:p>
    <w:p w:rsidR="008A0793" w:rsidRPr="007E58AD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numPr>
          <w:ilvl w:val="0"/>
          <w:numId w:val="9"/>
        </w:numPr>
        <w:spacing w:after="0" w:line="240" w:lineRule="auto"/>
        <w:ind w:left="789" w:hanging="505"/>
        <w:contextualSpacing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Opłata za zgłoszenie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współwystawcy</w:t>
      </w:r>
      <w:proofErr w:type="spellEnd"/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7.1.   Opłata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obejmuje pakiet dodatkowych świadczeń,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do wyboru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: pakiet STANDARD lub pakiet PREMIUM.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7.2.   Wysokość opłaty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(do zadeklarowania przy dokonywaniu zgłoszenia on-line za pośrednictwem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):</w:t>
      </w:r>
    </w:p>
    <w:p w:rsidR="00CC5FED" w:rsidRPr="007E58AD" w:rsidRDefault="00CC5FED" w:rsidP="00963F62">
      <w:pPr>
        <w:numPr>
          <w:ilvl w:val="0"/>
          <w:numId w:val="14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STANDARD  – wynosi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900 PLN netto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**</w:t>
      </w:r>
      <w:r w:rsidR="00B54457" w:rsidRP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terminie oraz </w:t>
      </w:r>
      <w:r w:rsid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1300</w:t>
      </w:r>
      <w:r w:rsidR="00B54457" w:rsidRP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 xml:space="preserve"> PLN netto**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 terminie zgłoszeń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,</w:t>
      </w:r>
    </w:p>
    <w:p w:rsidR="00CC5FED" w:rsidRPr="007E58AD" w:rsidRDefault="00CC5FED" w:rsidP="00963F62">
      <w:pPr>
        <w:numPr>
          <w:ilvl w:val="0"/>
          <w:numId w:val="14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PREMIUM  – wynosi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1300 PLN netto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**</w:t>
      </w:r>
      <w:r w:rsidR="00B54457" w:rsidRP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terminie oraz </w:t>
      </w:r>
      <w:r w:rsid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1700</w:t>
      </w:r>
      <w:r w:rsidR="00B54457" w:rsidRPr="00B54457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 xml:space="preserve"> PLN netto**</w:t>
      </w:r>
      <w:r w:rsidR="00B54457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 terminie zgłoszeń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CC5FED" w:rsidRPr="007E58AD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Świadczenia dla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, wchodzące w zakres pakietów STANDARD i PREMIUM, są szczegółowo określone w opisie usługi opłata za zgłoszenie 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na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CC5FED" w:rsidRPr="007E58AD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zostanie zafakturowana przez MTP zgodnie z obowiązującymi przepisami. Opłata powinna być dokonana w terminie 14 dni od daty wystawienia faktury lub 5 dni od dnia otrzymania faktury.</w:t>
      </w:r>
    </w:p>
    <w:p w:rsidR="00CC5FED" w:rsidRPr="007E58AD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Opłata 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dokonana przez kontrahenta zagranicznego zostanie przez MTP zafakturowana według średniego kursu EUR ogłoszonego przez NBP w ostatnim dniu roboczym poprzedzającym rozpoczęcie targów.</w:t>
      </w:r>
    </w:p>
    <w:p w:rsidR="00CC5FED" w:rsidRPr="007E58AD" w:rsidRDefault="00CC5FED" w:rsidP="009D46DA">
      <w:pPr>
        <w:spacing w:after="0" w:line="240" w:lineRule="auto"/>
        <w:ind w:left="789" w:hanging="505"/>
        <w:contextualSpacing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17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Zamówienia i warunki płatności za pozostałe usługi targowe</w:t>
      </w:r>
    </w:p>
    <w:p w:rsidR="00CC5FED" w:rsidRPr="007E58AD" w:rsidRDefault="00CC5FED" w:rsidP="009D46DA">
      <w:pPr>
        <w:spacing w:after="0" w:line="240" w:lineRule="auto"/>
        <w:ind w:left="789" w:hanging="505"/>
        <w:contextualSpacing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MTP przyjmują zamówienia usług targowych dokonane drogą elektroniczną (on-line) za pośrednictwem portalu </w:t>
      </w:r>
      <w:r w:rsidRPr="007E58AD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Strefa                  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 Czynności dokonania zamówień usług są opisane w Regulaminie dla uczestników targów oraz w Regulaminie portalu Strefa Wystawcy.</w:t>
      </w:r>
    </w:p>
    <w:p w:rsidR="00CC5FED" w:rsidRPr="007E58AD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Warunki płatności za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usługę budowy i wyposażenia stoiska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są uregulowane w odrębnej umowie.</w:t>
      </w:r>
    </w:p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Należności z tytułu zamówienia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pozostałych usług targowych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(ogłoszenie reklamowe w katalogu, konstrukcja reklamowa, dodatkowe zaproszenia, dodatkowe karty wystawcy, karty wjazdu</w:t>
      </w:r>
      <w:r w:rsidR="00C53651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,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przyłącza elektryczne i wodociągowe, wypożyczenie mebli i innych rekwizytów  itp.) zostaną zafakturowane przez MTP zgodnie z obowiązującymi przepisami. Należności powinny być uregulowane w terminie 14 dni od daty wystawienia faktury lub 5 dni od dnia otrzymania faktury.</w:t>
      </w:r>
    </w:p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Rozliczenia z zagranicznymi kontrahentami z tytułu zamówienia przez nich pozostałych usług targowych są dokonywane przez MTP według średniego kursu EUR ogłoszonego przez NBP w ostatnim dniu roboczym poprzedzającym rozpoczęcie targów.</w:t>
      </w:r>
    </w:p>
    <w:p w:rsidR="00963F62" w:rsidRPr="007E58AD" w:rsidRDefault="00963F62" w:rsidP="00963F6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963F62" w:rsidRPr="007E58AD" w:rsidRDefault="00963F62" w:rsidP="00963F6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Opłata za użytkowanie sieci energetycznej</w:t>
      </w:r>
    </w:p>
    <w:p w:rsidR="00CC5FED" w:rsidRPr="007E58AD" w:rsidRDefault="00CC5FED" w:rsidP="009D46DA">
      <w:pPr>
        <w:spacing w:after="0" w:line="240" w:lineRule="auto"/>
        <w:ind w:left="789" w:hanging="505"/>
        <w:contextualSpacing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Zamawiający przyłącza elektryczne są zobowiązani do dokonania opłaty za użytkowanie sieci energetycznej MTP, której wysokość jest uzależniona od mocy przyłącza elektrycznego: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922"/>
      </w:tblGrid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Moc przyłącza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Opłata netto** [w PLN]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3 kW (1x16A)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498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lastRenderedPageBreak/>
              <w:t>9 kW (3x16A)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1272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14 kW (3x25A)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1890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18 kW (3x32A)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2415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36 kW (3x63A)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4830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50 kW (3x80A)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6720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70 kW (3x125A)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9660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2,3 kW (1x10A) 24 h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396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9 kW (3x16A) 24 h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1560</w:t>
            </w:r>
          </w:p>
        </w:tc>
      </w:tr>
    </w:tbl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Opłata za użytkowanie sieci energetycznej zostanie zafakturowana przez MTP zgodnie z obowiązującymi przepisami. Należność powinna być uregulowana w terminie 14 dni od daty wystawienia faktury lub 5 dni od dnia otrzymania faktury</w:t>
      </w:r>
    </w:p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Rozliczenia z zagranicznymi kontrahentami z tytułu opłaty za użytkowanie sieci energetycznej są dokonywane przez MTP według średniego kursu EUR ogłoszonego przez NBP w ostatnim dniu roboczym poprzedzającym rozpoczęcie targów.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Opłata z tytułu wywozu odpadów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CC5FED" w:rsidRPr="007E58AD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Z tytułu wywozu odpadów MTP pobierają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od zamawiających uczestnictwo w targach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opłatę, której wysokość jest uzależniona od wielkości powierzchni udostępnionej wystawcy:</w:t>
      </w:r>
    </w:p>
    <w:p w:rsidR="00CC5FED" w:rsidRPr="007E58AD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046"/>
      </w:tblGrid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Powierzchnia udostępniona wystawcy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E58AD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netto** [w PLN]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do 150 m</w:t>
            </w: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B54457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38</w:t>
            </w:r>
            <w:r w:rsidR="00CC5FED"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 xml:space="preserve">,00 PLN </w:t>
            </w:r>
            <w:r w:rsidR="00CC5FED"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>za każdy m</w:t>
            </w:r>
            <w:r w:rsidR="00CC5FED" w:rsidRPr="007E58AD">
              <w:rPr>
                <w:rFonts w:eastAsia="Times New Roman" w:cstheme="minorHAnsi"/>
                <w:color w:val="000000" w:themeColor="text1"/>
                <w:sz w:val="15"/>
                <w:szCs w:val="15"/>
                <w:vertAlign w:val="superscript"/>
                <w:lang w:eastAsia="pl-PL"/>
              </w:rPr>
              <w:t>2</w:t>
            </w:r>
            <w:r w:rsidR="00CC5FED"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 xml:space="preserve"> powierzchni udostępnionej wystawcy</w:t>
            </w:r>
          </w:p>
        </w:tc>
      </w:tr>
      <w:tr w:rsidR="007E58AD" w:rsidRPr="007E58AD" w:rsidTr="00037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FED" w:rsidRPr="007E58AD" w:rsidRDefault="00CC5FED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powyżej 150 m</w:t>
            </w:r>
            <w:r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5FED" w:rsidRPr="007E58AD" w:rsidRDefault="00EA182B" w:rsidP="009D46DA">
            <w:pPr>
              <w:spacing w:after="0" w:line="240" w:lineRule="auto"/>
              <w:ind w:left="789" w:hanging="505"/>
              <w:jc w:val="both"/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5810</w:t>
            </w:r>
            <w:r w:rsidR="00CC5FED" w:rsidRPr="007E58AD">
              <w:rPr>
                <w:rFonts w:eastAsia="Times New Roman" w:cstheme="minorHAnsi"/>
                <w:b/>
                <w:bCs/>
                <w:color w:val="000000" w:themeColor="text1"/>
                <w:sz w:val="15"/>
                <w:szCs w:val="15"/>
                <w:lang w:eastAsia="pl-PL"/>
              </w:rPr>
              <w:t>,00 PLN</w:t>
            </w:r>
            <w:r w:rsidR="00CC5FED" w:rsidRPr="007E58AD">
              <w:rPr>
                <w:rFonts w:eastAsia="Times New Roman" w:cstheme="minorHAnsi"/>
                <w:color w:val="000000" w:themeColor="text1"/>
                <w:sz w:val="15"/>
                <w:szCs w:val="15"/>
                <w:lang w:eastAsia="pl-PL"/>
              </w:rPr>
              <w:t xml:space="preserve"> / ryczałt</w:t>
            </w:r>
          </w:p>
        </w:tc>
      </w:tr>
    </w:tbl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Opłata z tytułu wywozu odpadów zostanie zafakturowana przez MTP zgodnie z obowiązującymi przepisami.  Należność powinna być uregulowana w terminie 14 dni od daty wystawienia faktury lub 5 dni od dnia otrzymania faktury.</w:t>
      </w:r>
    </w:p>
    <w:p w:rsidR="00CC5FED" w:rsidRPr="007E58AD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Rozliczenia z zagranicznymi kontrahentami z tytułu opłaty za wywóz odpadów są dokonywane przez MTP według średniego kursu EUR ogłoszonego przez NBP w ostatnim dniu roboczym poprzedzającym rozpoczęcie targów.</w:t>
      </w:r>
    </w:p>
    <w:p w:rsidR="008A0793" w:rsidRPr="007E58AD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D46DA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Należności a koszty bankowe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Wszelkie należności z tytułu uczestnictwa w targach (opłata za zgłoszenie wystawcy, opłata 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), zamówienia powierzchni i innych usług targowych powinny być regulowane jako wolne od opłat bankowych.</w:t>
      </w:r>
    </w:p>
    <w:p w:rsidR="008A0793" w:rsidRPr="007E58AD" w:rsidRDefault="008A0793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Wszelkie wpłaty z tytułu uczestnictwa w targach należy dokonywać na rachunek bankowy MTP: Międzynarodowe Targi Poznańskie Sp. z o.o., ul. Głogowska 14, 60 – 734 Poznań, Powszechna Kasa Oszczędności Bank Polski S.A. w Warszawie o/Poznań nr konta: 38 102040270000110204242962.</w:t>
      </w:r>
    </w:p>
    <w:p w:rsidR="008A0793" w:rsidRPr="007E58AD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12. Sprzątanie stoiska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12.1.  Za uporządkowanie stoiska po montażu oraz demontażu jest odpowiedzialny wykonawca </w:t>
      </w:r>
      <w:r w:rsidR="00963F62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stoiska, z uwzględnieniem zasad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usuwania odpadów (patrz punkty 7.7. , 7.8. i 12.2. Przepisów Technicznych).</w:t>
      </w: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12.2. Sprzątanie stoiska w okresie trwania targów jest realizowane przez MTP codziennie, z wyjątkiem ostatniego dnia targów, po zamknięciu targów dla zwiedzających i  opuszczeniu stoiska przez uczestnika targów (wystawcę).</w:t>
      </w: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12.3. Sprzątanie stoiska obejmuje jego dostępną przestrzeń (bez zamkniętego zaplecza) i  polega na: opróżnieniu koszy na śmieci, umyciu twardych powierzchni podłóg, wyczyszczeniu wykładzin dywanowych (odkurzaczem) oraz powierzchni mebli stanowiących wyposażenie stoiska, ale nie obejmuje czyszczenia eksponatów ani mycia naczyń uczestnika targów.</w:t>
      </w:r>
    </w:p>
    <w:p w:rsidR="008A0793" w:rsidRPr="007E58AD" w:rsidRDefault="008A0793" w:rsidP="00963F62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12.4.  Usługa sprzątania, wkalkulowana w cenę powierzchni, nie wymaga żadnego zamówienia ze strony uczestnika targów.</w:t>
      </w: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12.5.  Uczestnik targów jest zobowiązany we własnym zakresie do  zabezpieczenia swojego mienia na stoisku (zgodnie z pkt.6.2. i 6.3. Regulaminu dla uczestników targów).  Ponadto zaleca się, aby uczestnik targów dokonał ubezpieczenia swojego mienia (zgodnie z punktem 7.4. Regulaminu dla uczestników targów).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13. Karty wstępu, zaproszenia do zwiedzania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FC502C">
      <w:pPr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13.1. Do wstępu na tereny targowe w okresie trwania targów, montażu i demontażu upoważniają uczestników targów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karty wystawcy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br/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13.2. Karty wystawcy są przydzielane przez MTP w ilości zależnej od wielkości powierzchni zamówionej przez wystawcę, według     </w:t>
      </w:r>
      <w:r w:rsidR="00FC502C"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następujących zasad: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2 karty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10m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4 karty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20m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6 kart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50m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8 kart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  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75m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10 kart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100m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5"/>
          <w:szCs w:val="15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12 kart</w:t>
      </w: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 xml:space="preserve"> - stoisko do 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lang w:eastAsia="pl-PL"/>
        </w:rPr>
        <w:t>200m</w:t>
      </w:r>
      <w:r w:rsidRPr="007E58AD">
        <w:rPr>
          <w:rFonts w:eastAsia="Times New Roman" w:cstheme="minorHAnsi"/>
          <w:b/>
          <w:bCs/>
          <w:color w:val="000000" w:themeColor="text1"/>
          <w:sz w:val="15"/>
          <w:szCs w:val="15"/>
          <w:vertAlign w:val="superscript"/>
          <w:lang w:eastAsia="pl-PL"/>
        </w:rPr>
        <w:t>2</w:t>
      </w:r>
    </w:p>
    <w:p w:rsidR="008A0793" w:rsidRPr="007E58AD" w:rsidRDefault="008A0793" w:rsidP="00963F62">
      <w:pPr>
        <w:numPr>
          <w:ilvl w:val="0"/>
          <w:numId w:val="19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5"/>
          <w:szCs w:val="15"/>
          <w:lang w:eastAsia="pl-PL"/>
        </w:rPr>
        <w:t>po jednej karcie na każde 50m2 powyżej 200m</w:t>
      </w:r>
      <w:r w:rsidRPr="007E58AD">
        <w:rPr>
          <w:rFonts w:eastAsia="Times New Roman" w:cstheme="minorHAnsi"/>
          <w:color w:val="000000" w:themeColor="text1"/>
          <w:sz w:val="15"/>
          <w:szCs w:val="15"/>
          <w:vertAlign w:val="superscript"/>
          <w:lang w:eastAsia="pl-PL"/>
        </w:rPr>
        <w:t>2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13.3. Dodatkowe karty wystawcy, ponad limit określony powyżej, sprzedawane są na portalu </w:t>
      </w:r>
      <w:hyperlink r:id="rId7" w:history="1">
        <w:r w:rsidRPr="007E58AD">
          <w:rPr>
            <w:rFonts w:eastAsia="Times New Roman" w:cstheme="minorHAnsi"/>
            <w:color w:val="000000" w:themeColor="text1"/>
            <w:sz w:val="16"/>
            <w:szCs w:val="16"/>
            <w:u w:val="single"/>
            <w:lang w:eastAsia="pl-PL"/>
          </w:rPr>
          <w:t>www.strefawystawcy.pl</w:t>
        </w:r>
      </w:hyperlink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13.4.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Karty wstępu dla ekip budujących stoiska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wystawiane są przez MTP na okres montażu i demontażu na podstawie pisemnego zamówienia uczestnika targów lub przedsiębiorcy budującego stoiska. Zamówione karty wysyłane są mailowo.</w:t>
      </w:r>
    </w:p>
    <w:p w:rsidR="008A0793" w:rsidRPr="007E58AD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13.5. W związku z regulowaniem opłaty rejestracyjnej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STANDARD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PREMIUM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oraz opłaty za zgłoszenie 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STANDARD i PREMIUM uczestnicy targów (wystawcy, </w:t>
      </w:r>
      <w:proofErr w:type="spellStart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współwystawcy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) otrzymują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100 sztuk zaproszeń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dla gości targowych.</w:t>
      </w:r>
    </w:p>
    <w:p w:rsidR="008A0793" w:rsidRPr="007E58AD" w:rsidRDefault="008A0793" w:rsidP="00FC502C">
      <w:p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13.6. Uczestnicy targów mogą dodatkowo zakupić w MTP dowolną ilość zaproszeń dla swoich gości. Dodatkowe zaproszenia są sprzedawane na portalu </w:t>
      </w:r>
      <w:hyperlink r:id="rId8" w:history="1">
        <w:r w:rsidRPr="007E58AD">
          <w:rPr>
            <w:rFonts w:eastAsia="Times New Roman" w:cstheme="minorHAnsi"/>
            <w:color w:val="000000" w:themeColor="text1"/>
            <w:sz w:val="16"/>
            <w:szCs w:val="16"/>
            <w:u w:val="single"/>
            <w:lang w:eastAsia="pl-PL"/>
          </w:rPr>
          <w:t>www.strefawystawcy.pl</w:t>
        </w:r>
      </w:hyperlink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14. Karty wjazdu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14.1.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Uczestnicy targów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są uprawnieni do wjazdu na tereny targowe:</w:t>
      </w:r>
    </w:p>
    <w:p w:rsidR="008A0793" w:rsidRPr="007E58AD" w:rsidRDefault="008A0793" w:rsidP="00963F62">
      <w:pPr>
        <w:numPr>
          <w:ilvl w:val="0"/>
          <w:numId w:val="21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samochodem osobowym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lub pojazdem dostawczym z dodatkową przestrzenią pasażerską - w okresie trwania targów, montażu i demontażu - na podstawie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kart wjazdu na całe wydarzenie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. Karty wjazdu na całe wydarzenie są sprzedawane na portalu </w:t>
      </w:r>
      <w:hyperlink r:id="rId9" w:history="1">
        <w:r w:rsidRPr="007E58AD">
          <w:rPr>
            <w:rFonts w:eastAsia="Times New Roman" w:cstheme="minorHAnsi"/>
            <w:color w:val="000000" w:themeColor="text1"/>
            <w:sz w:val="16"/>
            <w:szCs w:val="16"/>
            <w:u w:val="single"/>
            <w:lang w:eastAsia="pl-PL"/>
          </w:rPr>
          <w:t>www.strefawystawcy.pl</w:t>
        </w:r>
      </w:hyperlink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. Karty nie uprawniają do wjazdu na parking podziemny miejski przy ul. Głogowskiej 11. </w:t>
      </w:r>
    </w:p>
    <w:p w:rsidR="008A0793" w:rsidRPr="007E58AD" w:rsidRDefault="008A0793" w:rsidP="00963F62">
      <w:pPr>
        <w:numPr>
          <w:ilvl w:val="0"/>
          <w:numId w:val="21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pojazdem dostawczym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– w ostatnim dniu targów, dopiero po ich zamknięciu dla publiczności oraz w czasie montażu i demontażu – na podstawie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kart na montaż / demontaż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14.2.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Wykonawcy stoisk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i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dostawcy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/ odbiorcy eksponatów są uprawnieni do wjazdu na tereny targowe w okresie montażu i demontażu, na podstawie kart na montaż / demontaż lub zlecenia dostawy / odbioru.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14.3.  W ostatnim dniu targów, po ich zamknięciu dla publiczności, tj. dnia </w:t>
      </w:r>
      <w:r w:rsidR="00EA182B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25.04.2024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r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. po godz. 18:00,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w celu demontażu stoisk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będą wpuszczane na tereny targowe, poza samochodami osobowymi, także pojazdy dostawcze oraz samochody ciężarowe o ładowności do 8 i długości do 8m, bez przyczep. Wjazd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pojazdów wielkogabarytowych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i specjalistycznych jest możliwy następnego dnia po zakończeniu targów, tj. dnia </w:t>
      </w:r>
      <w:r w:rsidR="00EA182B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26.04.2024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r.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od godz. 7.00.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14.4.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Niedozwolonym jest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:</w:t>
      </w:r>
    </w:p>
    <w:p w:rsidR="008A0793" w:rsidRPr="007E58AD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wjazd na tereny targowe bez ważnych dokumentów uprawniających do wjazdu;</w:t>
      </w:r>
    </w:p>
    <w:p w:rsidR="008A0793" w:rsidRPr="007E58AD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parkowanie pojazdów na drodze pożarowej oraz w strefie wyznaczonej dla pieszych;</w:t>
      </w:r>
    </w:p>
    <w:p w:rsidR="008A0793" w:rsidRPr="007E58AD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pozostawienie pojazdów na terenach targowych podczas trwania targów - po godz. 18.00;</w:t>
      </w:r>
    </w:p>
    <w:p w:rsidR="008A0793" w:rsidRPr="007E58AD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pozostawienie pojazdów na terenach targowych w okresie montażu i demontażu - po godz. 22.00.</w:t>
      </w:r>
    </w:p>
    <w:p w:rsidR="008A0793" w:rsidRPr="007E58AD" w:rsidRDefault="008A0793" w:rsidP="00963F62">
      <w:p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Wjazd na tereny targowe bez ważnych dokumentów, parkowanie pojazdów na drodze pożarowej lub w wyznaczonej strefie dla pieszych oraz pozostawienie pojazdu na terenach targowych po wyżej określonych godzinach bez zgody MTP, a w przypadku uzyskania zgody MTP - poza wskazanym miejscem postoju - spowoduje założenie urządzenia blokującego koło oraz nałożenie kary porządkowej w wysokości 200 zł.  Kara porządkowa nie podlega fakturowaniu.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cstheme="minorHAnsi"/>
          <w:color w:val="000000" w:themeColor="text1"/>
          <w:sz w:val="16"/>
          <w:szCs w:val="16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14.5. </w:t>
      </w:r>
      <w:r w:rsidRPr="007E58AD">
        <w:rPr>
          <w:rFonts w:cstheme="minorHAnsi"/>
          <w:color w:val="000000" w:themeColor="text1"/>
          <w:sz w:val="16"/>
          <w:szCs w:val="16"/>
        </w:rPr>
        <w:t xml:space="preserve">Wystawcy mogą skorzystać z parkingu miejskiego podziemnego położonego przy ul. Głogowskiej 11 w cenie 7 zł/1h 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cstheme="minorHAnsi"/>
          <w:color w:val="000000" w:themeColor="text1"/>
          <w:sz w:val="16"/>
          <w:szCs w:val="16"/>
        </w:rPr>
        <w:t xml:space="preserve">              (max 63 zł/1 dzień). Z parkingu można korzystać również w porze nocnej. 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15. Konkursy: Złoty Medal MTP,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Acanthus</w:t>
      </w:r>
      <w:proofErr w:type="spellEnd"/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Aureus</w:t>
      </w:r>
      <w:proofErr w:type="spellEnd"/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15.1.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Złoty Medal MTP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- dla najlepszego wyrobu. Zgłoszenia do konkursu należy dokonać na portalu www.strefawystawcy.pl lub w World Trade Center Poznań Sp. z o.o. (WTC), ul. Bukowska 12, 60-810 Poznań. Szczegółowe informacje: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Agnieszka Polacka                      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tel. +48 668 805 018;   e-mail: </w:t>
      </w:r>
      <w:hyperlink r:id="rId10" w:history="1">
        <w:r w:rsidRPr="007E58AD">
          <w:rPr>
            <w:rFonts w:eastAsia="Times New Roman" w:cstheme="minorHAnsi"/>
            <w:color w:val="000000" w:themeColor="text1"/>
            <w:sz w:val="16"/>
            <w:szCs w:val="16"/>
            <w:u w:val="single"/>
            <w:lang w:eastAsia="pl-PL"/>
          </w:rPr>
          <w:t>agnieszka.polacka@wtcpoznan.pl</w:t>
        </w:r>
      </w:hyperlink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15.2.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Acanthus</w:t>
      </w:r>
      <w:proofErr w:type="spellEnd"/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Aureus</w:t>
      </w:r>
      <w:proofErr w:type="spellEnd"/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– nagroda dla ekspozycji targowych, których rozwiązania architektoniczne i graficzne najlepiej odzwierciedlają      strategię marketingową firmy. Zgłoszenia do konkursu należy przesyłać do Zespołu Komunikacji Korporacyjnej MTP nie później niż 1 tydzień przed rozpoczęciem targów. Szczegółowe informacje: Anna Smolińska, tel. +48 61 869 2109, email:   </w:t>
      </w:r>
      <w:hyperlink r:id="rId11" w:history="1">
        <w:r w:rsidRPr="007E58AD">
          <w:rPr>
            <w:rFonts w:eastAsia="Times New Roman" w:cstheme="minorHAnsi"/>
            <w:color w:val="000000" w:themeColor="text1"/>
            <w:sz w:val="16"/>
            <w:szCs w:val="16"/>
            <w:u w:val="single"/>
            <w:lang w:eastAsia="pl-PL"/>
          </w:rPr>
          <w:t>anna.smolinska@grupamtp.pl</w:t>
        </w:r>
      </w:hyperlink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16. Podatek od towarów i usług (VAT)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FC502C">
      <w:pPr>
        <w:spacing w:after="0" w:line="240" w:lineRule="auto"/>
        <w:ind w:left="789" w:hanging="647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16.1. MTP wystawiają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faktury z podatkiem od towarów i usług (VAT)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z tytułu: </w:t>
      </w:r>
    </w:p>
    <w:p w:rsidR="008A0793" w:rsidRPr="007E58AD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usług wstępu i wjazdu oraz związanych z nimi usług pomocniczych (bilety i karty wstępu, zaproszenia, karty wjazdu, itp.) – kontrahentom targowym, bez względu na ich siedzibę lub miejsce prowadzenia przez nich działalności;</w:t>
      </w:r>
    </w:p>
    <w:p w:rsidR="008A0793" w:rsidRPr="007E58AD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innych usług targowych - zamawiającym te usługi kontrahentom mającym siedzibę lub stałe miejsce prowadzenia działalności     </w:t>
      </w:r>
      <w:r w:rsidRPr="007E58AD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w   Polsce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8A0793" w:rsidRPr="007E58AD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16.2. MTP wystawiają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faktury bez podatku od towarów i usług (VAT) 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z tytułu usług targowych innych niż wymienione w punkcie 16.1.a): </w:t>
      </w:r>
    </w:p>
    <w:p w:rsidR="008A0793" w:rsidRPr="007E58AD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kontrahentom mającym siedzibę lub stałe miejsce prowadzenia działalności w państwie Unii Europejskiej (UE)</w:t>
      </w:r>
    </w:p>
    <w:p w:rsidR="008A0793" w:rsidRPr="007E58AD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kontrahentom posiadających siedzibę lub stałe miejsce prowadzenia działalności w państwie poza terenem UE,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pod warunkiem, że odbiorcą usługi nie jest wystawca/ </w:t>
      </w:r>
      <w:proofErr w:type="spellStart"/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współwystawca</w:t>
      </w:r>
      <w:proofErr w:type="spellEnd"/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 xml:space="preserve"> mający siedzibę lub stałe miejsce prowadzenia działalności w Polsce.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>16.3. Warunkiem wystawienia faktury bez podatku od towarów i usług (VAT) kontrahentom zagranicznym z siedzibą lub stałym miejscem prowadzenia działalności w państwie UE 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jest  podanie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7E58AD">
        <w:rPr>
          <w:rFonts w:eastAsia="Times New Roman" w:cstheme="minorHAnsi"/>
          <w:b/>
          <w:bCs/>
          <w:color w:val="000000" w:themeColor="text1"/>
          <w:sz w:val="16"/>
          <w:szCs w:val="16"/>
          <w:lang w:eastAsia="pl-PL"/>
        </w:rPr>
        <w:t>EU VAT ID</w:t>
      </w:r>
      <w:r w:rsidRPr="007E58A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w formularzach zamówień usług targowych.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8A0793" w:rsidRPr="007E58AD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E58A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17. Wymogi sanitarne i przepisy porządkowe. </w:t>
      </w:r>
    </w:p>
    <w:p w:rsidR="008A0793" w:rsidRPr="007E58AD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</w:p>
    <w:p w:rsidR="008A0793" w:rsidRPr="007E58AD" w:rsidRDefault="008A0793" w:rsidP="008353DF">
      <w:pPr>
        <w:spacing w:after="0" w:line="240" w:lineRule="auto"/>
        <w:ind w:left="709"/>
        <w:jc w:val="both"/>
        <w:rPr>
          <w:rFonts w:cstheme="minorHAnsi"/>
          <w:iCs/>
          <w:color w:val="000000" w:themeColor="text1"/>
          <w:sz w:val="16"/>
          <w:szCs w:val="16"/>
        </w:rPr>
      </w:pPr>
      <w:r w:rsidRPr="007E58AD">
        <w:rPr>
          <w:rFonts w:cstheme="minorHAnsi"/>
          <w:iCs/>
          <w:color w:val="000000" w:themeColor="text1"/>
          <w:sz w:val="16"/>
          <w:szCs w:val="16"/>
        </w:rPr>
        <w:t>Wszyscy przebywający na terenach MTP są zobowiązani do przestrzegania poleceń służb bez</w:t>
      </w:r>
      <w:r w:rsidR="008353DF" w:rsidRPr="007E58AD">
        <w:rPr>
          <w:rFonts w:cstheme="minorHAnsi"/>
          <w:iCs/>
          <w:color w:val="000000" w:themeColor="text1"/>
          <w:sz w:val="16"/>
          <w:szCs w:val="16"/>
        </w:rPr>
        <w:t xml:space="preserve">pieczeństwa MTP odnoszących się </w:t>
      </w:r>
      <w:r w:rsidRPr="007E58AD">
        <w:rPr>
          <w:rFonts w:cstheme="minorHAnsi"/>
          <w:iCs/>
          <w:color w:val="000000" w:themeColor="text1"/>
          <w:sz w:val="16"/>
          <w:szCs w:val="16"/>
        </w:rPr>
        <w:t>do przestrzegania rygorów sanitarnych oraz postępowania w sytuacjach zagrożenia bezpieczeństwa (np. obowiązek ewakuacji, izolacji).</w:t>
      </w:r>
    </w:p>
    <w:p w:rsidR="00963F62" w:rsidRPr="007E58AD" w:rsidRDefault="00963F62" w:rsidP="009D46DA">
      <w:pPr>
        <w:spacing w:after="0" w:line="240" w:lineRule="auto"/>
        <w:ind w:left="789" w:hanging="505"/>
        <w:jc w:val="both"/>
        <w:rPr>
          <w:rFonts w:cstheme="minorHAnsi"/>
          <w:iCs/>
          <w:color w:val="000000" w:themeColor="text1"/>
          <w:sz w:val="16"/>
          <w:szCs w:val="16"/>
        </w:rPr>
      </w:pPr>
    </w:p>
    <w:p w:rsidR="00963F62" w:rsidRPr="007E58AD" w:rsidRDefault="008A0793" w:rsidP="00963F62">
      <w:pPr>
        <w:spacing w:after="0" w:line="240" w:lineRule="auto"/>
        <w:ind w:left="789" w:hanging="505"/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</w:pPr>
      <w:r w:rsidRPr="007E58AD"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  <w:t>* wartość (cena) brutto uwzględnia podatek od towarów i usług (VAT), zgodnie z obowiązuj</w:t>
      </w:r>
      <w:r w:rsidR="00963F62" w:rsidRPr="007E58AD"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  <w:t>ącymi przepisami               </w:t>
      </w:r>
    </w:p>
    <w:p w:rsidR="008A0793" w:rsidRPr="007E58AD" w:rsidRDefault="008A0793" w:rsidP="00963F62">
      <w:pPr>
        <w:spacing w:after="0" w:line="240" w:lineRule="auto"/>
        <w:ind w:left="789" w:hanging="505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  <w:r w:rsidRPr="007E58AD"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  <w:t>** opłata (cena) netto nie uwzględnia podatku od towarów i usług (VAT)</w:t>
      </w:r>
    </w:p>
    <w:p w:rsidR="008A0793" w:rsidRPr="007E58AD" w:rsidRDefault="008A0793" w:rsidP="00963F62">
      <w:pPr>
        <w:spacing w:after="0" w:line="240" w:lineRule="auto"/>
        <w:ind w:left="789" w:hanging="505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  <w:r w:rsidRPr="007E58AD"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  <w:t xml:space="preserve">„Regulamin dla uczestników targów” jest dostępny na stronie </w:t>
      </w:r>
      <w:hyperlink r:id="rId12" w:history="1">
        <w:r w:rsidRPr="007E58AD">
          <w:rPr>
            <w:rFonts w:eastAsia="Times New Roman" w:cstheme="minorHAnsi"/>
            <w:i/>
            <w:iCs/>
            <w:color w:val="000000" w:themeColor="text1"/>
            <w:sz w:val="10"/>
            <w:szCs w:val="10"/>
            <w:u w:val="single"/>
            <w:lang w:eastAsia="pl-PL"/>
          </w:rPr>
          <w:t>www.greenpower.pl/pl</w:t>
        </w:r>
      </w:hyperlink>
    </w:p>
    <w:p w:rsidR="00A960AB" w:rsidRPr="007E58AD" w:rsidRDefault="008A0793" w:rsidP="00963F62">
      <w:pPr>
        <w:spacing w:after="0" w:line="240" w:lineRule="auto"/>
        <w:ind w:left="789" w:hanging="505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  <w:r w:rsidRPr="007E58AD">
        <w:rPr>
          <w:rFonts w:eastAsia="Times New Roman" w:cstheme="minorHAnsi"/>
          <w:i/>
          <w:iCs/>
          <w:color w:val="000000" w:themeColor="text1"/>
          <w:sz w:val="10"/>
          <w:szCs w:val="10"/>
          <w:lang w:eastAsia="pl-PL"/>
        </w:rPr>
        <w:t>Na życzenie Wystawcy Regulamin zostanie wysłany drogą pocztową.</w:t>
      </w:r>
    </w:p>
    <w:p w:rsidR="009D46DA" w:rsidRPr="007E58AD" w:rsidRDefault="009D46DA">
      <w:pPr>
        <w:spacing w:after="0" w:line="240" w:lineRule="auto"/>
        <w:ind w:left="789" w:hanging="505"/>
        <w:jc w:val="both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sectPr w:rsidR="009D46DA" w:rsidRPr="007E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2F"/>
    <w:multiLevelType w:val="multilevel"/>
    <w:tmpl w:val="7EFAD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1">
    <w:nsid w:val="047C324C"/>
    <w:multiLevelType w:val="multilevel"/>
    <w:tmpl w:val="8C34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2">
    <w:nsid w:val="05BB1786"/>
    <w:multiLevelType w:val="multilevel"/>
    <w:tmpl w:val="191821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3">
    <w:nsid w:val="0667484D"/>
    <w:multiLevelType w:val="multilevel"/>
    <w:tmpl w:val="F5AC5A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4">
    <w:nsid w:val="0BFA3636"/>
    <w:multiLevelType w:val="multilevel"/>
    <w:tmpl w:val="9AC892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>
    <w:nsid w:val="17BA6280"/>
    <w:multiLevelType w:val="hybridMultilevel"/>
    <w:tmpl w:val="1DA8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5E9A"/>
    <w:multiLevelType w:val="hybridMultilevel"/>
    <w:tmpl w:val="EDFA23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CC85313"/>
    <w:multiLevelType w:val="multilevel"/>
    <w:tmpl w:val="769A6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080"/>
      </w:pPr>
      <w:rPr>
        <w:rFonts w:hint="default"/>
      </w:rPr>
    </w:lvl>
  </w:abstractNum>
  <w:abstractNum w:abstractNumId="8">
    <w:nsid w:val="328727CE"/>
    <w:multiLevelType w:val="multilevel"/>
    <w:tmpl w:val="6D2C9E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9">
    <w:nsid w:val="3B5E3EE3"/>
    <w:multiLevelType w:val="hybridMultilevel"/>
    <w:tmpl w:val="9D2888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847947"/>
    <w:multiLevelType w:val="multilevel"/>
    <w:tmpl w:val="212AB0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32" w:hanging="552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15425"/>
    <w:multiLevelType w:val="multilevel"/>
    <w:tmpl w:val="B3A08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080"/>
      </w:pPr>
      <w:rPr>
        <w:rFonts w:hint="default"/>
      </w:rPr>
    </w:lvl>
  </w:abstractNum>
  <w:abstractNum w:abstractNumId="12">
    <w:nsid w:val="474565A8"/>
    <w:multiLevelType w:val="hybridMultilevel"/>
    <w:tmpl w:val="671C20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517854"/>
    <w:multiLevelType w:val="multilevel"/>
    <w:tmpl w:val="FB64B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4">
    <w:nsid w:val="55D21927"/>
    <w:multiLevelType w:val="hybridMultilevel"/>
    <w:tmpl w:val="2416A0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EB479B7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BA2D4A"/>
    <w:multiLevelType w:val="hybridMultilevel"/>
    <w:tmpl w:val="48D213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FC330E"/>
    <w:multiLevelType w:val="hybridMultilevel"/>
    <w:tmpl w:val="749C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D0104"/>
    <w:multiLevelType w:val="multilevel"/>
    <w:tmpl w:val="60BC7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19">
    <w:nsid w:val="799A519F"/>
    <w:multiLevelType w:val="multilevel"/>
    <w:tmpl w:val="0CCA1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20">
    <w:nsid w:val="79BB3C92"/>
    <w:multiLevelType w:val="hybridMultilevel"/>
    <w:tmpl w:val="E070DF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F6C2E35"/>
    <w:multiLevelType w:val="multilevel"/>
    <w:tmpl w:val="C37AB7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"/>
  </w:num>
  <w:num w:numId="12">
    <w:abstractNumId w:val="18"/>
  </w:num>
  <w:num w:numId="13">
    <w:abstractNumId w:val="6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  <w:num w:numId="20">
    <w:abstractNumId w:val="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D"/>
    <w:rsid w:val="000843A2"/>
    <w:rsid w:val="001E30E3"/>
    <w:rsid w:val="007E58AD"/>
    <w:rsid w:val="00816CDA"/>
    <w:rsid w:val="008353DF"/>
    <w:rsid w:val="008773FD"/>
    <w:rsid w:val="008A0793"/>
    <w:rsid w:val="009327A9"/>
    <w:rsid w:val="00963F62"/>
    <w:rsid w:val="009D46DA"/>
    <w:rsid w:val="00A0788F"/>
    <w:rsid w:val="00A960AB"/>
    <w:rsid w:val="00B1264F"/>
    <w:rsid w:val="00B54457"/>
    <w:rsid w:val="00BE52F9"/>
    <w:rsid w:val="00C417F9"/>
    <w:rsid w:val="00C53651"/>
    <w:rsid w:val="00CC5FED"/>
    <w:rsid w:val="00D86217"/>
    <w:rsid w:val="00DB5715"/>
    <w:rsid w:val="00E30026"/>
    <w:rsid w:val="00EA182B"/>
    <w:rsid w:val="00EB6CFA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wystawcy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efawystawcy.pl" TargetMode="External"/><Relationship Id="rId12" Type="http://schemas.openxmlformats.org/officeDocument/2006/relationships/hyperlink" Target="http://www.expopower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na.smolinska@grupamt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polacka@wtc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wystawc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Ożóg</dc:creator>
  <cp:lastModifiedBy>Martyna Wlekły</cp:lastModifiedBy>
  <cp:revision>2</cp:revision>
  <cp:lastPrinted>2023-07-13T11:35:00Z</cp:lastPrinted>
  <dcterms:created xsi:type="dcterms:W3CDTF">2023-10-25T10:54:00Z</dcterms:created>
  <dcterms:modified xsi:type="dcterms:W3CDTF">2023-10-25T10:54:00Z</dcterms:modified>
</cp:coreProperties>
</file>